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292B93">
        <w:rPr>
          <w:rFonts w:eastAsia="Times New Roman" w:cs="Times New Roman"/>
          <w:lang w:eastAsia="cs-CZ"/>
        </w:rPr>
        <w:t xml:space="preserve">. </w:t>
      </w:r>
      <w:r w:rsidR="00292B93" w:rsidRPr="00292B93">
        <w:rPr>
          <w:rFonts w:eastAsia="Times New Roman" w:cs="Times New Roman"/>
          <w:lang w:eastAsia="cs-CZ"/>
        </w:rPr>
        <w:t>4</w:t>
      </w:r>
      <w:r w:rsidRPr="00292B93">
        <w:rPr>
          <w:rFonts w:eastAsia="Times New Roman" w:cs="Times New Roman"/>
          <w:lang w:eastAsia="cs-CZ"/>
        </w:rPr>
        <w:t xml:space="preserve"> </w:t>
      </w:r>
      <w:r w:rsidRPr="00292B93"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292B93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 w:rsidRPr="00292B93">
        <w:rPr>
          <w:rFonts w:eastAsia="Times New Roman" w:cs="Times New Roman"/>
          <w:lang w:eastAsia="cs-CZ"/>
        </w:rPr>
        <w:t xml:space="preserve"> s názvem </w:t>
      </w:r>
      <w:r w:rsidRPr="00292B93">
        <w:rPr>
          <w:rFonts w:eastAsia="Times New Roman" w:cs="Times New Roman"/>
          <w:b/>
          <w:lang w:eastAsia="cs-CZ"/>
        </w:rPr>
        <w:t>„</w:t>
      </w:r>
      <w:bookmarkEnd w:id="0"/>
      <w:r w:rsidR="00292B93" w:rsidRPr="00292B93">
        <w:rPr>
          <w:rFonts w:eastAsia="Times New Roman" w:cs="Times New Roman"/>
          <w:b/>
          <w:lang w:eastAsia="cs-CZ"/>
        </w:rPr>
        <w:t xml:space="preserve">Nákup </w:t>
      </w:r>
      <w:proofErr w:type="spellStart"/>
      <w:r w:rsidR="00292B93" w:rsidRPr="00292B93">
        <w:rPr>
          <w:rFonts w:eastAsia="Times New Roman" w:cs="Times New Roman"/>
          <w:b/>
          <w:lang w:eastAsia="cs-CZ"/>
        </w:rPr>
        <w:t>minirypadla</w:t>
      </w:r>
      <w:proofErr w:type="spellEnd"/>
      <w:r w:rsidR="00292B93" w:rsidRPr="00292B93">
        <w:rPr>
          <w:rFonts w:eastAsia="Times New Roman" w:cs="Times New Roman"/>
          <w:b/>
          <w:lang w:eastAsia="cs-CZ"/>
        </w:rPr>
        <w:t xml:space="preserve"> s příslušenstvím a podvalníkem</w:t>
      </w:r>
      <w:r w:rsidRPr="00DB1C2C">
        <w:rPr>
          <w:rFonts w:eastAsia="Times New Roman" w:cs="Times New Roman"/>
          <w:b/>
          <w:lang w:eastAsia="cs-CZ"/>
        </w:rPr>
        <w:t>“</w:t>
      </w:r>
      <w:r w:rsidRPr="00DB1C2C">
        <w:rPr>
          <w:rFonts w:eastAsia="Times New Roman" w:cs="Times New Roman"/>
          <w:lang w:eastAsia="cs-CZ"/>
        </w:rPr>
        <w:t xml:space="preserve">, </w:t>
      </w:r>
      <w:proofErr w:type="gramStart"/>
      <w:r w:rsidRPr="00DB1C2C">
        <w:rPr>
          <w:rFonts w:eastAsia="Times New Roman" w:cs="Times New Roman"/>
          <w:lang w:eastAsia="cs-CZ"/>
        </w:rPr>
        <w:t>č.j.</w:t>
      </w:r>
      <w:proofErr w:type="gramEnd"/>
      <w:r w:rsidR="00DB1C2C" w:rsidRPr="00DB1C2C">
        <w:rPr>
          <w:rFonts w:eastAsia="Times New Roman" w:cs="Times New Roman"/>
          <w:lang w:eastAsia="cs-CZ"/>
        </w:rPr>
        <w:t xml:space="preserve"> 16070/2021-SŽ-OŘ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>v souvislosti se zadávanou veřejnou zakázkou neuzavřel a neuzavře s jinými osobami zakázanou dohodu ve smyslu zákona č. 143/2001 Sb., o ochraně hospodářské soutěže a o změně některých zákonů (zákon o ochraně hospod</w:t>
      </w:r>
      <w:bookmarkStart w:id="1" w:name="_GoBack"/>
      <w:bookmarkEnd w:id="1"/>
      <w:r w:rsidRPr="00FC0E10">
        <w:rPr>
          <w:rFonts w:eastAsia="Times New Roman" w:cs="Times New Roman"/>
          <w:lang w:eastAsia="cs-CZ"/>
        </w:rPr>
        <w:t xml:space="preserve">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56C3B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F7F75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1C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1C2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DD89DF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A07CC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B93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B1C2C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19BEE9E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6EC447-9A91-43E2-86CC-CFB5A34C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2021-05-12T06:20:00Z</dcterms:created>
  <dcterms:modified xsi:type="dcterms:W3CDTF">2021-05-12T06:47:00Z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